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6F" w:rsidRPr="009A0A3F" w:rsidRDefault="002F03E6" w:rsidP="005877ED">
      <w:pPr>
        <w:pStyle w:val="a6"/>
        <w:rPr>
          <w:color w:val="000000"/>
          <w:spacing w:val="4"/>
          <w:sz w:val="26"/>
          <w:szCs w:val="26"/>
        </w:rPr>
      </w:pPr>
      <w:r>
        <w:rPr>
          <w:noProof/>
        </w:rPr>
        <w:drawing>
          <wp:inline distT="0" distB="0" distL="0" distR="0" wp14:anchorId="7387C345" wp14:editId="3A5B1744">
            <wp:extent cx="514350" cy="619125"/>
            <wp:effectExtent l="1905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ED" w:rsidRDefault="00AE1C06" w:rsidP="00F35042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E0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5877ED">
        <w:rPr>
          <w:rFonts w:ascii="Times New Roman" w:hAnsi="Times New Roman" w:cs="Times New Roman"/>
          <w:b w:val="0"/>
          <w:sz w:val="28"/>
          <w:szCs w:val="28"/>
        </w:rPr>
        <w:t xml:space="preserve">НОВОУСПЕНСКОГО СЕЛЬСОВЕТА </w:t>
      </w:r>
    </w:p>
    <w:p w:rsidR="00F35042" w:rsidRPr="00C52E00" w:rsidRDefault="00AE1C06" w:rsidP="005877ED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E00">
        <w:rPr>
          <w:rFonts w:ascii="Times New Roman" w:hAnsi="Times New Roman" w:cs="Times New Roman"/>
          <w:b w:val="0"/>
          <w:sz w:val="28"/>
          <w:szCs w:val="28"/>
        </w:rPr>
        <w:t>АБАНСКОГО РАЙОНА</w:t>
      </w:r>
      <w:r w:rsidR="00587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E00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F35042" w:rsidRPr="00C52E00" w:rsidRDefault="00F35042" w:rsidP="00F35042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5042" w:rsidRPr="00C52E00" w:rsidRDefault="00F35042" w:rsidP="00F35042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E0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35042" w:rsidRDefault="00F35042" w:rsidP="002535FB">
      <w:pPr>
        <w:pStyle w:val="ConsPlusTitle"/>
        <w:widowControl/>
        <w:ind w:left="-181" w:firstLine="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5042" w:rsidRPr="007B2E59" w:rsidRDefault="00286B86" w:rsidP="00F35042">
      <w:pPr>
        <w:pStyle w:val="ConsPlusTitle"/>
        <w:widowControl/>
        <w:spacing w:line="36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719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3504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D6B6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.2023                    </w:t>
      </w:r>
      <w:r w:rsidR="00F35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587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35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77ED">
        <w:rPr>
          <w:rFonts w:ascii="Times New Roman" w:hAnsi="Times New Roman" w:cs="Times New Roman"/>
          <w:b w:val="0"/>
          <w:bCs w:val="0"/>
          <w:sz w:val="28"/>
          <w:szCs w:val="28"/>
        </w:rPr>
        <w:t>с.Новоуспенка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№ </w:t>
      </w:r>
      <w:r w:rsidR="005877ED">
        <w:rPr>
          <w:rFonts w:ascii="Times New Roman" w:hAnsi="Times New Roman" w:cs="Times New Roman"/>
          <w:b w:val="0"/>
          <w:bCs w:val="0"/>
          <w:sz w:val="28"/>
          <w:szCs w:val="28"/>
        </w:rPr>
        <w:t>83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F35042" w:rsidRDefault="00F35042" w:rsidP="00F350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5042" w:rsidRPr="003F457A" w:rsidRDefault="00F35042" w:rsidP="00F35042">
      <w:pPr>
        <w:pStyle w:val="aa"/>
        <w:spacing w:before="0" w:beforeAutospacing="0" w:after="0" w:afterAutospacing="0"/>
        <w:ind w:left="709" w:right="963"/>
        <w:jc w:val="center"/>
        <w:rPr>
          <w:sz w:val="26"/>
          <w:szCs w:val="26"/>
        </w:rPr>
      </w:pPr>
      <w:bookmarkStart w:id="0" w:name="_Hlk135030924"/>
      <w:r w:rsidRPr="00F35042">
        <w:rPr>
          <w:sz w:val="28"/>
          <w:szCs w:val="28"/>
        </w:rPr>
        <w:t xml:space="preserve">О </w:t>
      </w:r>
      <w:r w:rsidR="00DD6B6C">
        <w:rPr>
          <w:sz w:val="28"/>
          <w:szCs w:val="28"/>
        </w:rPr>
        <w:t>мерах по реализации решения</w:t>
      </w:r>
      <w:r w:rsidRPr="00F35042">
        <w:rPr>
          <w:sz w:val="28"/>
          <w:szCs w:val="28"/>
        </w:rPr>
        <w:t xml:space="preserve"> </w:t>
      </w:r>
      <w:r w:rsidR="005877ED">
        <w:rPr>
          <w:sz w:val="28"/>
          <w:szCs w:val="28"/>
        </w:rPr>
        <w:t>Новоуспенского сельского</w:t>
      </w:r>
      <w:r w:rsidR="00DD6B6C">
        <w:rPr>
          <w:sz w:val="28"/>
          <w:szCs w:val="28"/>
        </w:rPr>
        <w:t xml:space="preserve"> Совета депутатов </w:t>
      </w:r>
      <w:r w:rsidR="00DD6B6C" w:rsidRPr="003F457A">
        <w:rPr>
          <w:sz w:val="28"/>
          <w:szCs w:val="28"/>
        </w:rPr>
        <w:t xml:space="preserve">от </w:t>
      </w:r>
      <w:r w:rsidR="005877ED">
        <w:rPr>
          <w:sz w:val="28"/>
          <w:szCs w:val="28"/>
        </w:rPr>
        <w:t>21</w:t>
      </w:r>
      <w:r w:rsidR="00DD6B6C" w:rsidRPr="003F457A">
        <w:rPr>
          <w:sz w:val="28"/>
          <w:szCs w:val="28"/>
        </w:rPr>
        <w:t xml:space="preserve">.12.2023 № </w:t>
      </w:r>
      <w:r w:rsidR="005877ED">
        <w:rPr>
          <w:sz w:val="28"/>
          <w:szCs w:val="28"/>
        </w:rPr>
        <w:t>34-130р</w:t>
      </w:r>
      <w:r w:rsidR="00DD6B6C" w:rsidRPr="003F457A">
        <w:rPr>
          <w:sz w:val="28"/>
          <w:szCs w:val="28"/>
        </w:rPr>
        <w:t xml:space="preserve"> «О бюджете</w:t>
      </w:r>
      <w:r w:rsidR="005877ED">
        <w:rPr>
          <w:sz w:val="28"/>
          <w:szCs w:val="28"/>
        </w:rPr>
        <w:t xml:space="preserve"> поселения</w:t>
      </w:r>
      <w:r w:rsidR="00DD6B6C" w:rsidRPr="003F457A">
        <w:rPr>
          <w:sz w:val="28"/>
          <w:szCs w:val="28"/>
        </w:rPr>
        <w:t xml:space="preserve"> на 2024 год и плановый период 2025-2026 годов»</w:t>
      </w:r>
    </w:p>
    <w:p w:rsidR="00AB4029" w:rsidRPr="003F457A" w:rsidRDefault="00AB4029" w:rsidP="00AB4029">
      <w:pPr>
        <w:ind w:left="283" w:right="284" w:hanging="11"/>
        <w:jc w:val="center"/>
        <w:rPr>
          <w:rFonts w:eastAsia="Arial"/>
          <w:sz w:val="28"/>
          <w:szCs w:val="28"/>
        </w:rPr>
      </w:pPr>
    </w:p>
    <w:bookmarkEnd w:id="0"/>
    <w:p w:rsidR="00AE1C06" w:rsidRDefault="00F35042" w:rsidP="00811B7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В соответствии со статьями  </w:t>
      </w:r>
      <w:r w:rsidR="005877ED">
        <w:rPr>
          <w:sz w:val="28"/>
          <w:szCs w:val="28"/>
        </w:rPr>
        <w:t>16,19</w:t>
      </w:r>
      <w:r w:rsidRPr="003F457A">
        <w:rPr>
          <w:sz w:val="28"/>
          <w:szCs w:val="28"/>
        </w:rPr>
        <w:t xml:space="preserve"> Устава </w:t>
      </w:r>
      <w:r w:rsidR="005877ED">
        <w:rPr>
          <w:sz w:val="28"/>
          <w:szCs w:val="28"/>
        </w:rPr>
        <w:t xml:space="preserve"> Новоуспенского сельсовета, </w:t>
      </w:r>
      <w:r w:rsidRPr="003F457A">
        <w:rPr>
          <w:sz w:val="28"/>
          <w:szCs w:val="28"/>
        </w:rPr>
        <w:t>Абанского района Красноярского края</w:t>
      </w:r>
      <w:r w:rsidR="00AE1C06" w:rsidRPr="003F457A">
        <w:rPr>
          <w:sz w:val="28"/>
          <w:szCs w:val="28"/>
        </w:rPr>
        <w:t>,</w:t>
      </w:r>
      <w:r w:rsidR="00DD6B6C" w:rsidRPr="003F457A">
        <w:rPr>
          <w:sz w:val="28"/>
          <w:szCs w:val="28"/>
        </w:rPr>
        <w:t xml:space="preserve"> решением </w:t>
      </w:r>
      <w:r w:rsidR="005877ED">
        <w:rPr>
          <w:sz w:val="28"/>
          <w:szCs w:val="28"/>
        </w:rPr>
        <w:t>Новоуспенского сельского</w:t>
      </w:r>
      <w:r w:rsidR="00DD6B6C" w:rsidRPr="003F457A">
        <w:rPr>
          <w:sz w:val="28"/>
          <w:szCs w:val="28"/>
        </w:rPr>
        <w:t xml:space="preserve"> Совета депутатов от </w:t>
      </w:r>
      <w:r w:rsidR="005877ED">
        <w:rPr>
          <w:sz w:val="28"/>
          <w:szCs w:val="28"/>
        </w:rPr>
        <w:t>21</w:t>
      </w:r>
      <w:r w:rsidR="00DD6B6C" w:rsidRPr="003F457A">
        <w:rPr>
          <w:sz w:val="28"/>
          <w:szCs w:val="28"/>
        </w:rPr>
        <w:t xml:space="preserve">.12.2023 № </w:t>
      </w:r>
      <w:r w:rsidR="005877ED">
        <w:rPr>
          <w:sz w:val="28"/>
          <w:szCs w:val="28"/>
        </w:rPr>
        <w:t>34-130р</w:t>
      </w:r>
      <w:r w:rsidR="00DD6B6C" w:rsidRPr="003F457A">
        <w:rPr>
          <w:sz w:val="28"/>
          <w:szCs w:val="28"/>
        </w:rPr>
        <w:t xml:space="preserve"> «О бюджете </w:t>
      </w:r>
      <w:r w:rsidR="005877ED">
        <w:rPr>
          <w:sz w:val="28"/>
          <w:szCs w:val="28"/>
        </w:rPr>
        <w:t xml:space="preserve"> поселения </w:t>
      </w:r>
      <w:r w:rsidR="00DD6B6C" w:rsidRPr="003F457A">
        <w:rPr>
          <w:sz w:val="28"/>
          <w:szCs w:val="28"/>
        </w:rPr>
        <w:t>на 2024 год и плановый период 2025-2026 годов»</w:t>
      </w:r>
    </w:p>
    <w:p w:rsidR="00F35042" w:rsidRPr="00F35042" w:rsidRDefault="00F35042" w:rsidP="00AE1C0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35042">
        <w:rPr>
          <w:sz w:val="28"/>
          <w:szCs w:val="28"/>
        </w:rPr>
        <w:t>ПОСТАНОВЛЯЮ:</w:t>
      </w:r>
    </w:p>
    <w:p w:rsidR="00DD6B6C" w:rsidRPr="00DD6B6C" w:rsidRDefault="00871976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бюджета, а также </w:t>
      </w:r>
      <w:r>
        <w:rPr>
          <w:rFonts w:ascii="Times New Roman" w:hAnsi="Times New Roman" w:cs="Times New Roman"/>
          <w:sz w:val="28"/>
          <w:szCs w:val="28"/>
        </w:rPr>
        <w:t>сельские</w:t>
      </w:r>
      <w:r w:rsidR="00DD6B6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автономные и бюджетные учреждения при заключении подлежащих оплате за счет средств </w:t>
      </w:r>
      <w:r w:rsidR="00DD6B6C">
        <w:rPr>
          <w:rFonts w:ascii="Times New Roman" w:hAnsi="Times New Roman" w:cs="Times New Roman"/>
          <w:sz w:val="28"/>
          <w:szCs w:val="28"/>
        </w:rPr>
        <w:t>районного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бюджета договоров (</w:t>
      </w:r>
      <w:r w:rsidR="00DD6B6C">
        <w:rPr>
          <w:rFonts w:ascii="Times New Roman" w:hAnsi="Times New Roman" w:cs="Times New Roman"/>
          <w:sz w:val="28"/>
          <w:szCs w:val="28"/>
        </w:rPr>
        <w:t>муниципальных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контрактов) на поставку товаров, выполнение работ, оказание услуг вправе предусматривать условия частичной или полной предоплаты в следующих случаях:</w:t>
      </w:r>
    </w:p>
    <w:p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6C">
        <w:rPr>
          <w:rFonts w:ascii="Times New Roman" w:hAnsi="Times New Roman" w:cs="Times New Roman"/>
          <w:sz w:val="28"/>
          <w:szCs w:val="28"/>
        </w:rPr>
        <w:t>в размере 100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году, в соответствии с </w:t>
      </w:r>
      <w:hyperlink w:anchor="P186">
        <w:r w:rsidRPr="00DD6B6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DD6B6C">
        <w:rPr>
          <w:rFonts w:ascii="Times New Roman" w:hAnsi="Times New Roman" w:cs="Times New Roman"/>
          <w:sz w:val="28"/>
          <w:szCs w:val="28"/>
        </w:rPr>
        <w:t xml:space="preserve"> товаров, работ и услуг, авансовые платежи по которым могут предусматриваться в размере 100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контракта), согласно приложению N 2;</w:t>
      </w:r>
      <w:proofErr w:type="gramEnd"/>
    </w:p>
    <w:p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в размере до 50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 на выполнение работ по строительству, реконструкции, инженерным изысканиям, подготовке проектной документации по объектам капитального строительства, но не более лимитов бюджетных обязательств, подлежащих исполнению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году;</w:t>
      </w:r>
    </w:p>
    <w:p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в размере до 30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подлежащих исполнению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году, по остальным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контрактам), если иное не предусмотрено законодательством Российской Федерации.</w:t>
      </w:r>
    </w:p>
    <w:p w:rsidR="00DD6B6C" w:rsidRPr="00DD6B6C" w:rsidRDefault="00871976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. Установить, что погашение кредиторской задолженности, </w:t>
      </w:r>
      <w:r w:rsidR="00DD6B6C" w:rsidRPr="00DD6B6C">
        <w:rPr>
          <w:rFonts w:ascii="Times New Roman" w:hAnsi="Times New Roman" w:cs="Times New Roman"/>
          <w:sz w:val="28"/>
          <w:szCs w:val="28"/>
        </w:rPr>
        <w:lastRenderedPageBreak/>
        <w:t xml:space="preserve">сложившейся по принятым в предыдущие годы фактически произведенным, но не оплаченным по состоянию на 1 января 2024 года обязательствам, производится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B6C" w:rsidRPr="00DD6B6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за счет утвержденных им бюджетных ассигнований на 2024 год.</w:t>
      </w:r>
    </w:p>
    <w:p w:rsidR="000301C2" w:rsidRDefault="00871976" w:rsidP="00DD6B6C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bookmarkStart w:id="1" w:name="P35"/>
      <w:bookmarkEnd w:id="1"/>
      <w:r>
        <w:rPr>
          <w:sz w:val="28"/>
          <w:szCs w:val="28"/>
        </w:rPr>
        <w:t>3</w:t>
      </w:r>
      <w:r w:rsidR="00456A6F" w:rsidRPr="0017374C">
        <w:rPr>
          <w:sz w:val="28"/>
          <w:szCs w:val="28"/>
        </w:rPr>
        <w:t xml:space="preserve">. </w:t>
      </w:r>
      <w:r w:rsidR="003A4574" w:rsidRPr="004A2871">
        <w:rPr>
          <w:sz w:val="28"/>
          <w:szCs w:val="28"/>
        </w:rPr>
        <w:t xml:space="preserve">Опубликовать постановление в </w:t>
      </w:r>
      <w:r w:rsidR="005214FC">
        <w:rPr>
          <w:sz w:val="28"/>
          <w:szCs w:val="28"/>
        </w:rPr>
        <w:t>«Ведомостях органов местного самоуправления</w:t>
      </w:r>
      <w:r>
        <w:rPr>
          <w:sz w:val="28"/>
          <w:szCs w:val="28"/>
        </w:rPr>
        <w:t xml:space="preserve"> Новоуспенского сельсовета </w:t>
      </w:r>
      <w:r w:rsidR="003A4574" w:rsidRPr="004A2871">
        <w:rPr>
          <w:sz w:val="28"/>
          <w:szCs w:val="28"/>
        </w:rPr>
        <w:t>»</w:t>
      </w:r>
      <w:r w:rsidR="003A4574" w:rsidRPr="003A4574">
        <w:rPr>
          <w:sz w:val="28"/>
          <w:szCs w:val="28"/>
        </w:rPr>
        <w:t xml:space="preserve"> </w:t>
      </w:r>
      <w:r w:rsidR="003A4574">
        <w:rPr>
          <w:sz w:val="28"/>
          <w:szCs w:val="28"/>
        </w:rPr>
        <w:t>и р</w:t>
      </w:r>
      <w:r w:rsidR="000301C2">
        <w:rPr>
          <w:sz w:val="28"/>
          <w:szCs w:val="28"/>
        </w:rPr>
        <w:t xml:space="preserve">азместить </w:t>
      </w:r>
      <w:r w:rsidR="000301C2" w:rsidRPr="007B74C2">
        <w:rPr>
          <w:sz w:val="28"/>
        </w:rPr>
        <w:t>на официальном сайте в информационно-телекоммуникационной сети «Интернет»</w:t>
      </w:r>
      <w:r w:rsidR="000301C2">
        <w:rPr>
          <w:sz w:val="28"/>
        </w:rPr>
        <w:t>.</w:t>
      </w:r>
    </w:p>
    <w:p w:rsidR="00456A6F" w:rsidRDefault="00456A6F" w:rsidP="0031080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574" w:rsidRPr="0017374C" w:rsidRDefault="003A4574" w:rsidP="0031080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A6F" w:rsidRDefault="003A4574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  <w:r w:rsidRPr="00162E55">
        <w:rPr>
          <w:sz w:val="28"/>
          <w:szCs w:val="28"/>
        </w:rPr>
        <w:t xml:space="preserve">Глава </w:t>
      </w:r>
      <w:r w:rsidR="005214FC">
        <w:rPr>
          <w:sz w:val="28"/>
          <w:szCs w:val="28"/>
        </w:rPr>
        <w:t>Новоуспенского сельсовета                                                         Л.В.Ховрич</w:t>
      </w: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5214FC" w:rsidRDefault="005214FC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5214FC" w:rsidRDefault="005214FC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5214FC" w:rsidRDefault="005214FC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871976" w:rsidRDefault="00871976" w:rsidP="0020541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1976" w:rsidRDefault="00871976" w:rsidP="0020541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1976" w:rsidRDefault="00871976" w:rsidP="008A01C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1976" w:rsidRDefault="00871976" w:rsidP="00A069C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left="6521"/>
        <w:jc w:val="right"/>
        <w:outlineLvl w:val="0"/>
      </w:pPr>
      <w:r w:rsidRPr="00A069C5">
        <w:t xml:space="preserve">Приложение 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left="6521"/>
        <w:jc w:val="right"/>
      </w:pPr>
      <w:r w:rsidRPr="00A069C5">
        <w:t>к постановлению администрации Н</w:t>
      </w:r>
      <w:r>
        <w:t>овоуспенского</w:t>
      </w:r>
      <w:r w:rsidRPr="00A069C5">
        <w:t xml:space="preserve"> сельсовета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left="6521"/>
        <w:jc w:val="right"/>
      </w:pPr>
      <w:r w:rsidRPr="00A069C5">
        <w:t>Абанского района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left="6521"/>
        <w:jc w:val="right"/>
      </w:pPr>
      <w:r w:rsidRPr="00A069C5">
        <w:t>Красноярского края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left="6521"/>
        <w:jc w:val="right"/>
      </w:pPr>
      <w:r w:rsidRPr="00A069C5">
        <w:t xml:space="preserve">от </w:t>
      </w:r>
      <w:r>
        <w:t>28.</w:t>
      </w:r>
      <w:r w:rsidRPr="00A069C5">
        <w:t xml:space="preserve">12. 2023 № </w:t>
      </w:r>
      <w:r>
        <w:t>83-п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069C5">
        <w:rPr>
          <w:sz w:val="28"/>
          <w:szCs w:val="28"/>
        </w:rPr>
        <w:t>Перечень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069C5">
        <w:rPr>
          <w:sz w:val="28"/>
          <w:szCs w:val="28"/>
        </w:rPr>
        <w:t>товаров, работ и услуг, авансовые платежи по которым могут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069C5">
        <w:rPr>
          <w:sz w:val="28"/>
          <w:szCs w:val="28"/>
        </w:rPr>
        <w:t>предусматриваться в размере 100 процентов от суммы договора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069C5">
        <w:rPr>
          <w:sz w:val="28"/>
          <w:szCs w:val="28"/>
        </w:rPr>
        <w:t>(муниципального контракта)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1. Услуги по подписке на периодические издания, услуги почтовой связи.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 xml:space="preserve">2. Услуги по обучению на курсах повышения квалификации, в том числе участие в лекциях и </w:t>
      </w:r>
      <w:proofErr w:type="spellStart"/>
      <w:r w:rsidRPr="00A069C5">
        <w:rPr>
          <w:sz w:val="28"/>
          <w:szCs w:val="28"/>
        </w:rPr>
        <w:t>вебинарах</w:t>
      </w:r>
      <w:proofErr w:type="spellEnd"/>
      <w:r w:rsidRPr="00A069C5">
        <w:rPr>
          <w:sz w:val="28"/>
          <w:szCs w:val="28"/>
        </w:rPr>
        <w:t xml:space="preserve"> очно или онлайн, по прохождению профессиональной переподготовки, взносы на участие в семинарах, совещаниях, форумах, соревнованиях, конференциях, выставках.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3. Услуги сотовой связи, стационарной телефонной связи, информационно-телекоммуникационной сети Интернет.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4. Услуги по экспертизе оргтехники и оборудования.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5. Услуги по санитарным эпидемиологическим и гигиеническим исследованиям.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6. Услуги по техническому учету объектов недвижимости.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7. Технологическое присоединение к инженерным сетям электро-, тепло- и водоснабжения и канализации, а также получение технических условий на проектирование.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8. Получение технических условий на технологическое присоединение к инженерным сетям электро- и водоснабжения, монтаж узлов учета расхода холодной воды, приборов учета электрической энергии.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9.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 xml:space="preserve">10. Услуги по проведению государственной экспертизы проектной документации, инженерных изысканий, проверки </w:t>
      </w:r>
      <w:proofErr w:type="gramStart"/>
      <w:r w:rsidRPr="00A069C5">
        <w:rPr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A069C5">
        <w:rPr>
          <w:sz w:val="28"/>
          <w:szCs w:val="28"/>
        </w:rPr>
        <w:t>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11. Услуги по государственной экологической экспертизе.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 xml:space="preserve">12. </w:t>
      </w:r>
      <w:proofErr w:type="gramStart"/>
      <w:r w:rsidRPr="00A069C5">
        <w:rPr>
          <w:sz w:val="28"/>
          <w:szCs w:val="28"/>
        </w:rPr>
        <w:t>Товары, работы и услуги, приобретаемые для оказания медицинской помощи в неотложной или экстренной форме, в том числе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  <w:proofErr w:type="gramEnd"/>
    </w:p>
    <w:p w:rsidR="008A01CF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 xml:space="preserve">13. Товары, приобретаемые в целях модернизации и обслуживания </w:t>
      </w:r>
    </w:p>
    <w:p w:rsidR="008A01CF" w:rsidRDefault="008A01CF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_GoBack"/>
      <w:bookmarkEnd w:id="2"/>
      <w:r w:rsidRPr="00A069C5">
        <w:rPr>
          <w:sz w:val="28"/>
          <w:szCs w:val="28"/>
        </w:rPr>
        <w:t>информационно-телекоммуникационной сети, систем хранения данных, информационных систем и систем видеонаблюдения, а именно: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средства связи, выполняющие функцию систем коммутации;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машины вычислительные электронные цифровые, поставляемые в виде систем для автоматической обработки данных;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видеокамеры;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источники бесперебойного питания;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машины вычислительные электронные цифровые прочие, содержащие или не содержащие в одном корпусе одно или два из следующих устрой</w:t>
      </w:r>
      <w:proofErr w:type="gramStart"/>
      <w:r w:rsidRPr="00A069C5">
        <w:rPr>
          <w:sz w:val="28"/>
          <w:szCs w:val="28"/>
        </w:rPr>
        <w:t>ств дл</w:t>
      </w:r>
      <w:proofErr w:type="gramEnd"/>
      <w:r w:rsidRPr="00A069C5">
        <w:rPr>
          <w:sz w:val="28"/>
          <w:szCs w:val="28"/>
        </w:rPr>
        <w:t>я автоматической обработки данных: запоминающие устройства, устройства ввода, устройства вывода;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14. Приобретение горюче-смазочных материалов.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>15. Приобретения топлива (уголь, дрова).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 xml:space="preserve">16. Услуги перевозки грузов автомобильным (авиа, железнодорожным) транспортом, по курьерской доставке грузов, </w:t>
      </w:r>
      <w:proofErr w:type="gramStart"/>
      <w:r w:rsidRPr="00A069C5">
        <w:rPr>
          <w:sz w:val="28"/>
          <w:szCs w:val="28"/>
        </w:rPr>
        <w:t>экспресс-доставке</w:t>
      </w:r>
      <w:proofErr w:type="gramEnd"/>
      <w:r w:rsidRPr="00A069C5">
        <w:rPr>
          <w:sz w:val="28"/>
          <w:szCs w:val="28"/>
        </w:rPr>
        <w:t>.</w:t>
      </w: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9C5">
        <w:rPr>
          <w:sz w:val="28"/>
          <w:szCs w:val="28"/>
        </w:rPr>
        <w:t xml:space="preserve">17. </w:t>
      </w:r>
      <w:proofErr w:type="gramStart"/>
      <w:r w:rsidRPr="00A069C5">
        <w:rPr>
          <w:sz w:val="28"/>
          <w:szCs w:val="28"/>
        </w:rPr>
        <w:t xml:space="preserve">Товары, работы, услуги, приобретаемые на основании </w:t>
      </w:r>
      <w:hyperlink r:id="rId10" w:history="1">
        <w:r w:rsidRPr="00A069C5">
          <w:rPr>
            <w:color w:val="0000FF"/>
            <w:sz w:val="28"/>
            <w:szCs w:val="28"/>
            <w:u w:val="single"/>
          </w:rPr>
          <w:t>статьи 73</w:t>
        </w:r>
      </w:hyperlink>
      <w:r w:rsidRPr="00A069C5">
        <w:rPr>
          <w:sz w:val="28"/>
          <w:szCs w:val="28"/>
        </w:rPr>
        <w:t xml:space="preserve"> Бюджетного кодекса Российской Федерации с целью проведения ремонтных работ, выполняемых для устранения незначительных дефектов или поломок в помещении или объектов основных средств, а также связанных с содержанием имущества получателя средств бюджета поселения и поддержания его в надлежащем состоянии, стоимостью не более десяти тысяч рублей.</w:t>
      </w:r>
      <w:proofErr w:type="gramEnd"/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A069C5" w:rsidRPr="00A069C5" w:rsidRDefault="00A069C5" w:rsidP="00A069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0541B" w:rsidRDefault="0020541B" w:rsidP="00A069C5">
      <w:pPr>
        <w:pStyle w:val="ConsPlusNormal"/>
        <w:ind w:left="6521" w:firstLine="0"/>
        <w:outlineLvl w:val="0"/>
      </w:pPr>
    </w:p>
    <w:sectPr w:rsidR="0020541B" w:rsidSect="00340B4B">
      <w:pgSz w:w="11905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D6" w:rsidRDefault="009D03D6" w:rsidP="00282D75">
      <w:r>
        <w:separator/>
      </w:r>
    </w:p>
  </w:endnote>
  <w:endnote w:type="continuationSeparator" w:id="0">
    <w:p w:rsidR="009D03D6" w:rsidRDefault="009D03D6" w:rsidP="0028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D6" w:rsidRDefault="009D03D6" w:rsidP="00282D75">
      <w:r>
        <w:separator/>
      </w:r>
    </w:p>
  </w:footnote>
  <w:footnote w:type="continuationSeparator" w:id="0">
    <w:p w:rsidR="009D03D6" w:rsidRDefault="009D03D6" w:rsidP="0028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193"/>
    <w:multiLevelType w:val="hybridMultilevel"/>
    <w:tmpl w:val="D36A43F6"/>
    <w:lvl w:ilvl="0" w:tplc="8AA08F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61E5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5C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680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A7E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7F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83F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E8B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64C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25E30"/>
    <w:multiLevelType w:val="hybridMultilevel"/>
    <w:tmpl w:val="34C4968A"/>
    <w:lvl w:ilvl="0" w:tplc="D488179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6D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6A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A22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92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C1D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20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AAC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15F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FA2C85"/>
    <w:multiLevelType w:val="hybridMultilevel"/>
    <w:tmpl w:val="4338501E"/>
    <w:lvl w:ilvl="0" w:tplc="B6322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642789"/>
    <w:multiLevelType w:val="hybridMultilevel"/>
    <w:tmpl w:val="9CCE3360"/>
    <w:lvl w:ilvl="0" w:tplc="6C2AE5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CC9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02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442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C5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C5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8F7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E97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854246"/>
    <w:multiLevelType w:val="hybridMultilevel"/>
    <w:tmpl w:val="D694AB92"/>
    <w:lvl w:ilvl="0" w:tplc="EB12A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49B2ECC"/>
    <w:multiLevelType w:val="hybridMultilevel"/>
    <w:tmpl w:val="E9B8FA08"/>
    <w:lvl w:ilvl="0" w:tplc="AC4A31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847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43A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A22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489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AEF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C7C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1F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C1D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807"/>
    <w:rsid w:val="00006454"/>
    <w:rsid w:val="00017EA4"/>
    <w:rsid w:val="00022267"/>
    <w:rsid w:val="00022D1C"/>
    <w:rsid w:val="000301C2"/>
    <w:rsid w:val="00040567"/>
    <w:rsid w:val="00073D2A"/>
    <w:rsid w:val="000D0C94"/>
    <w:rsid w:val="000E3BAF"/>
    <w:rsid w:val="000E5534"/>
    <w:rsid w:val="001120DD"/>
    <w:rsid w:val="00114CD3"/>
    <w:rsid w:val="00123E0B"/>
    <w:rsid w:val="00130B90"/>
    <w:rsid w:val="00137561"/>
    <w:rsid w:val="00142291"/>
    <w:rsid w:val="00142A12"/>
    <w:rsid w:val="0016120A"/>
    <w:rsid w:val="00167A58"/>
    <w:rsid w:val="0017374C"/>
    <w:rsid w:val="00176BB2"/>
    <w:rsid w:val="001778BC"/>
    <w:rsid w:val="00183E05"/>
    <w:rsid w:val="001B358B"/>
    <w:rsid w:val="001F1596"/>
    <w:rsid w:val="001F1D8B"/>
    <w:rsid w:val="0020541B"/>
    <w:rsid w:val="00214042"/>
    <w:rsid w:val="00230162"/>
    <w:rsid w:val="00230284"/>
    <w:rsid w:val="00233145"/>
    <w:rsid w:val="00246F85"/>
    <w:rsid w:val="002535FB"/>
    <w:rsid w:val="00264983"/>
    <w:rsid w:val="00264FEE"/>
    <w:rsid w:val="00282D75"/>
    <w:rsid w:val="00286B86"/>
    <w:rsid w:val="002A3B85"/>
    <w:rsid w:val="002D0A8A"/>
    <w:rsid w:val="002F03E6"/>
    <w:rsid w:val="002F6EE4"/>
    <w:rsid w:val="00310807"/>
    <w:rsid w:val="00330DD7"/>
    <w:rsid w:val="00340B4B"/>
    <w:rsid w:val="003422D0"/>
    <w:rsid w:val="00343125"/>
    <w:rsid w:val="003453E4"/>
    <w:rsid w:val="00345BAE"/>
    <w:rsid w:val="00353977"/>
    <w:rsid w:val="00360FED"/>
    <w:rsid w:val="00363A3A"/>
    <w:rsid w:val="00373046"/>
    <w:rsid w:val="00395EAC"/>
    <w:rsid w:val="00396CF8"/>
    <w:rsid w:val="003A3DD6"/>
    <w:rsid w:val="003A4574"/>
    <w:rsid w:val="003B0A11"/>
    <w:rsid w:val="003B7E77"/>
    <w:rsid w:val="003C5022"/>
    <w:rsid w:val="003C6382"/>
    <w:rsid w:val="003D2D36"/>
    <w:rsid w:val="003E3B74"/>
    <w:rsid w:val="003F457A"/>
    <w:rsid w:val="003F7D91"/>
    <w:rsid w:val="0040025D"/>
    <w:rsid w:val="004460AF"/>
    <w:rsid w:val="00454E94"/>
    <w:rsid w:val="00456A6F"/>
    <w:rsid w:val="004609D9"/>
    <w:rsid w:val="00496CE4"/>
    <w:rsid w:val="004A71FF"/>
    <w:rsid w:val="004A794D"/>
    <w:rsid w:val="004B2D81"/>
    <w:rsid w:val="0051121B"/>
    <w:rsid w:val="005214FC"/>
    <w:rsid w:val="00523A66"/>
    <w:rsid w:val="005363C5"/>
    <w:rsid w:val="005877ED"/>
    <w:rsid w:val="00594D4D"/>
    <w:rsid w:val="00595DE8"/>
    <w:rsid w:val="005B0B0E"/>
    <w:rsid w:val="005F7597"/>
    <w:rsid w:val="00605ABF"/>
    <w:rsid w:val="006062B4"/>
    <w:rsid w:val="00630288"/>
    <w:rsid w:val="0065164D"/>
    <w:rsid w:val="00660444"/>
    <w:rsid w:val="006C7059"/>
    <w:rsid w:val="006D1A47"/>
    <w:rsid w:val="006D7C32"/>
    <w:rsid w:val="007078DF"/>
    <w:rsid w:val="00711557"/>
    <w:rsid w:val="0075098B"/>
    <w:rsid w:val="00755EA5"/>
    <w:rsid w:val="00775010"/>
    <w:rsid w:val="00776D95"/>
    <w:rsid w:val="007A28AD"/>
    <w:rsid w:val="007C3EB3"/>
    <w:rsid w:val="007C4955"/>
    <w:rsid w:val="007D4C01"/>
    <w:rsid w:val="007D4E8B"/>
    <w:rsid w:val="00811B78"/>
    <w:rsid w:val="0082196D"/>
    <w:rsid w:val="00833F8B"/>
    <w:rsid w:val="00836D3C"/>
    <w:rsid w:val="00857153"/>
    <w:rsid w:val="008575C0"/>
    <w:rsid w:val="008710DE"/>
    <w:rsid w:val="00871976"/>
    <w:rsid w:val="00884B29"/>
    <w:rsid w:val="008A01CF"/>
    <w:rsid w:val="008B4552"/>
    <w:rsid w:val="008B4E23"/>
    <w:rsid w:val="008E5EFF"/>
    <w:rsid w:val="00913FC4"/>
    <w:rsid w:val="0092011A"/>
    <w:rsid w:val="0092085F"/>
    <w:rsid w:val="00935CAB"/>
    <w:rsid w:val="00973803"/>
    <w:rsid w:val="009949FC"/>
    <w:rsid w:val="00994E22"/>
    <w:rsid w:val="009A0A3F"/>
    <w:rsid w:val="009A5247"/>
    <w:rsid w:val="009A7573"/>
    <w:rsid w:val="009D03D6"/>
    <w:rsid w:val="009D6210"/>
    <w:rsid w:val="009E7754"/>
    <w:rsid w:val="00A0577F"/>
    <w:rsid w:val="00A069C5"/>
    <w:rsid w:val="00A23E08"/>
    <w:rsid w:val="00A77C6A"/>
    <w:rsid w:val="00AB4029"/>
    <w:rsid w:val="00AB682A"/>
    <w:rsid w:val="00AC5A9C"/>
    <w:rsid w:val="00AC7156"/>
    <w:rsid w:val="00AE1C06"/>
    <w:rsid w:val="00AE5BEC"/>
    <w:rsid w:val="00B030AB"/>
    <w:rsid w:val="00B12DBA"/>
    <w:rsid w:val="00B14140"/>
    <w:rsid w:val="00B520CC"/>
    <w:rsid w:val="00B86618"/>
    <w:rsid w:val="00B875BA"/>
    <w:rsid w:val="00B96B7C"/>
    <w:rsid w:val="00BA2777"/>
    <w:rsid w:val="00BC1B81"/>
    <w:rsid w:val="00BF708D"/>
    <w:rsid w:val="00C238B9"/>
    <w:rsid w:val="00C62FB8"/>
    <w:rsid w:val="00C77E65"/>
    <w:rsid w:val="00C8414E"/>
    <w:rsid w:val="00C93950"/>
    <w:rsid w:val="00CA5801"/>
    <w:rsid w:val="00CA584F"/>
    <w:rsid w:val="00CC1DBD"/>
    <w:rsid w:val="00CE4331"/>
    <w:rsid w:val="00CE4A2C"/>
    <w:rsid w:val="00CF0318"/>
    <w:rsid w:val="00D06DE7"/>
    <w:rsid w:val="00D30BBA"/>
    <w:rsid w:val="00D40046"/>
    <w:rsid w:val="00D47C22"/>
    <w:rsid w:val="00D5452E"/>
    <w:rsid w:val="00D6662F"/>
    <w:rsid w:val="00D84168"/>
    <w:rsid w:val="00DB3C6A"/>
    <w:rsid w:val="00DC6407"/>
    <w:rsid w:val="00DD6B6C"/>
    <w:rsid w:val="00DE6FB6"/>
    <w:rsid w:val="00E148EE"/>
    <w:rsid w:val="00E2026F"/>
    <w:rsid w:val="00E344B7"/>
    <w:rsid w:val="00E57CB5"/>
    <w:rsid w:val="00EA629B"/>
    <w:rsid w:val="00EB373D"/>
    <w:rsid w:val="00EC2A1E"/>
    <w:rsid w:val="00EC2EAE"/>
    <w:rsid w:val="00EC7FCA"/>
    <w:rsid w:val="00ED28D5"/>
    <w:rsid w:val="00ED388D"/>
    <w:rsid w:val="00F301AA"/>
    <w:rsid w:val="00F35042"/>
    <w:rsid w:val="00F40CA4"/>
    <w:rsid w:val="00F50D87"/>
    <w:rsid w:val="00F77499"/>
    <w:rsid w:val="00F7774C"/>
    <w:rsid w:val="00F82187"/>
    <w:rsid w:val="00F87156"/>
    <w:rsid w:val="00FA160E"/>
    <w:rsid w:val="00FA40EF"/>
    <w:rsid w:val="00FB60AC"/>
    <w:rsid w:val="00FC26D8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0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82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87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30DD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E4A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locked/>
    <w:rsid w:val="00775010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rsid w:val="00775010"/>
    <w:rPr>
      <w:rFonts w:ascii="Times New Roman" w:eastAsia="Times New Roman" w:hAnsi="Times New Roman"/>
      <w:b/>
      <w:sz w:val="40"/>
    </w:rPr>
  </w:style>
  <w:style w:type="paragraph" w:styleId="a8">
    <w:name w:val="Subtitle"/>
    <w:basedOn w:val="a"/>
    <w:link w:val="a9"/>
    <w:qFormat/>
    <w:locked/>
    <w:rsid w:val="00775010"/>
    <w:pPr>
      <w:jc w:val="center"/>
    </w:pPr>
    <w:rPr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775010"/>
    <w:rPr>
      <w:rFonts w:ascii="Times New Roman" w:eastAsia="Times New Roman" w:hAnsi="Times New Roman"/>
      <w:b/>
      <w:sz w:val="36"/>
    </w:rPr>
  </w:style>
  <w:style w:type="paragraph" w:customStyle="1" w:styleId="ConsPlusNonformat">
    <w:name w:val="ConsPlusNonformat"/>
    <w:rsid w:val="00EB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F350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70713&amp;dst=1004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B6F7-CB5D-4658-8355-30AB3077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Абанского района</vt:lpstr>
    </vt:vector>
  </TitlesOfParts>
  <Company>Reanimator Extreme Edition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Абанского района</dc:title>
  <dc:creator>User</dc:creator>
  <cp:lastModifiedBy>Пользователь Windows</cp:lastModifiedBy>
  <cp:revision>8</cp:revision>
  <cp:lastPrinted>2024-04-04T02:39:00Z</cp:lastPrinted>
  <dcterms:created xsi:type="dcterms:W3CDTF">2024-03-28T02:42:00Z</dcterms:created>
  <dcterms:modified xsi:type="dcterms:W3CDTF">2024-04-04T02:40:00Z</dcterms:modified>
</cp:coreProperties>
</file>