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804889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НОВОУСПЕНСКИЙ</w:t>
      </w:r>
      <w:r w:rsidR="0047102A">
        <w:rPr>
          <w:color w:val="000000"/>
          <w:szCs w:val="28"/>
        </w:rPr>
        <w:t xml:space="preserve"> СЕЛЬСКИЙ СОВЕТ ДЕПУТАТОВ</w:t>
      </w: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46CD8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0</w:t>
      </w:r>
      <w:r w:rsidR="00E81801">
        <w:rPr>
          <w:color w:val="000000"/>
          <w:szCs w:val="28"/>
        </w:rPr>
        <w:t>8</w:t>
      </w:r>
      <w:r>
        <w:rPr>
          <w:color w:val="000000"/>
          <w:szCs w:val="28"/>
        </w:rPr>
        <w:t>.11</w:t>
      </w:r>
      <w:r w:rsidR="00CA1508">
        <w:rPr>
          <w:color w:val="000000"/>
          <w:szCs w:val="28"/>
        </w:rPr>
        <w:t>.20</w:t>
      </w:r>
      <w:r w:rsidR="0047102A">
        <w:rPr>
          <w:color w:val="000000"/>
          <w:szCs w:val="28"/>
        </w:rPr>
        <w:t>2</w:t>
      </w:r>
      <w:r w:rsidR="00E81801">
        <w:rPr>
          <w:color w:val="000000"/>
          <w:szCs w:val="28"/>
        </w:rPr>
        <w:t>4</w:t>
      </w:r>
      <w:r w:rsidR="0047102A">
        <w:rPr>
          <w:color w:val="000000"/>
          <w:szCs w:val="28"/>
        </w:rPr>
        <w:t xml:space="preserve">    </w:t>
      </w:r>
      <w:r w:rsidR="00F32172">
        <w:rPr>
          <w:color w:val="000000"/>
          <w:szCs w:val="28"/>
        </w:rPr>
        <w:t xml:space="preserve">                        </w:t>
      </w:r>
      <w:r w:rsidR="0047102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 xml:space="preserve">        </w:t>
      </w:r>
      <w:r w:rsidR="0047102A">
        <w:rPr>
          <w:color w:val="000000"/>
          <w:szCs w:val="28"/>
        </w:rPr>
        <w:t>с. Н</w:t>
      </w:r>
      <w:r w:rsidR="00804889">
        <w:rPr>
          <w:color w:val="000000"/>
          <w:szCs w:val="28"/>
        </w:rPr>
        <w:t>овоуспенка</w:t>
      </w:r>
      <w:r w:rsidR="0047102A">
        <w:rPr>
          <w:color w:val="000000"/>
          <w:szCs w:val="28"/>
        </w:rPr>
        <w:t xml:space="preserve">     </w:t>
      </w:r>
      <w:r w:rsidR="00804889">
        <w:rPr>
          <w:color w:val="000000"/>
          <w:szCs w:val="28"/>
        </w:rPr>
        <w:t xml:space="preserve">                          </w:t>
      </w:r>
      <w:r w:rsidR="00F32172">
        <w:rPr>
          <w:color w:val="000000"/>
          <w:szCs w:val="28"/>
        </w:rPr>
        <w:t>№</w:t>
      </w:r>
      <w:r w:rsidR="00E81801">
        <w:rPr>
          <w:color w:val="000000"/>
          <w:szCs w:val="28"/>
        </w:rPr>
        <w:t>4</w:t>
      </w:r>
      <w:r>
        <w:rPr>
          <w:color w:val="000000"/>
          <w:szCs w:val="28"/>
        </w:rPr>
        <w:t>2-1</w:t>
      </w:r>
      <w:r w:rsidR="00E81801">
        <w:rPr>
          <w:color w:val="000000"/>
          <w:szCs w:val="28"/>
        </w:rPr>
        <w:t>52р</w:t>
      </w:r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 по решению вопросов местного значения Абанскому району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Н</w:t>
      </w:r>
      <w:r w:rsidR="00804889">
        <w:rPr>
          <w:szCs w:val="28"/>
        </w:rPr>
        <w:t>овоуспенского</w:t>
      </w:r>
      <w:r>
        <w:rPr>
          <w:szCs w:val="28"/>
        </w:rPr>
        <w:t xml:space="preserve"> сельсовета Абанского района Красноярского края, Н</w:t>
      </w:r>
      <w:r w:rsidR="00804889">
        <w:rPr>
          <w:szCs w:val="28"/>
        </w:rPr>
        <w:t>овоуспенский</w:t>
      </w:r>
      <w:r>
        <w:rPr>
          <w:szCs w:val="28"/>
        </w:rPr>
        <w:t xml:space="preserve">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1. Администрации Н</w:t>
      </w:r>
      <w:r w:rsidR="00804889">
        <w:rPr>
          <w:szCs w:val="28"/>
        </w:rPr>
        <w:t>овоуспенского</w:t>
      </w:r>
      <w:r>
        <w:rPr>
          <w:szCs w:val="28"/>
        </w:rPr>
        <w:t xml:space="preserve"> 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п.</w:t>
      </w:r>
      <w:r>
        <w:rPr>
          <w:szCs w:val="28"/>
        </w:rPr>
        <w:t xml:space="preserve"> 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47102A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 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>
        <w:rPr>
          <w:szCs w:val="28"/>
        </w:rPr>
        <w:t>ря  по 31 декабря 202</w:t>
      </w:r>
      <w:r w:rsidR="00E81801">
        <w:rPr>
          <w:szCs w:val="28"/>
        </w:rPr>
        <w:t>5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Администрации Н</w:t>
      </w:r>
      <w:r w:rsidR="00804889">
        <w:rPr>
          <w:szCs w:val="28"/>
        </w:rPr>
        <w:t>овоуспенского</w:t>
      </w:r>
      <w:r>
        <w:rPr>
          <w:szCs w:val="28"/>
        </w:rPr>
        <w:t xml:space="preserve">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Главу Н</w:t>
      </w:r>
      <w:r w:rsidR="00804889">
        <w:rPr>
          <w:szCs w:val="28"/>
        </w:rPr>
        <w:t>овоуспенского</w:t>
      </w:r>
      <w:r>
        <w:rPr>
          <w:szCs w:val="28"/>
        </w:rPr>
        <w:t xml:space="preserve"> сельсовета </w:t>
      </w:r>
      <w:r w:rsidR="00804889">
        <w:rPr>
          <w:szCs w:val="28"/>
        </w:rPr>
        <w:t>Л.В.Ховрич</w:t>
      </w:r>
      <w:r>
        <w:rPr>
          <w:szCs w:val="28"/>
        </w:rPr>
        <w:t>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Настоящее</w:t>
      </w:r>
      <w:r w:rsidR="00453D34">
        <w:rPr>
          <w:szCs w:val="28"/>
        </w:rPr>
        <w:t xml:space="preserve"> Решение вступает в силу после</w:t>
      </w:r>
      <w:r>
        <w:rPr>
          <w:szCs w:val="28"/>
        </w:rPr>
        <w:t xml:space="preserve"> его официального опубликования  в периодическом печатном издании «Ведомости органов местного самоуправления Н</w:t>
      </w:r>
      <w:r w:rsidR="00804889">
        <w:rPr>
          <w:szCs w:val="28"/>
        </w:rPr>
        <w:t>овоуспенского</w:t>
      </w:r>
      <w:r>
        <w:rPr>
          <w:szCs w:val="28"/>
        </w:rPr>
        <w:t xml:space="preserve"> сельсовет</w:t>
      </w:r>
      <w:r w:rsidR="00804889">
        <w:rPr>
          <w:szCs w:val="28"/>
        </w:rPr>
        <w:t>а</w:t>
      </w:r>
      <w:r>
        <w:rPr>
          <w:szCs w:val="28"/>
        </w:rPr>
        <w:t>», подлежит размещению</w:t>
      </w:r>
      <w:r w:rsidR="002A7D94">
        <w:rPr>
          <w:szCs w:val="28"/>
        </w:rPr>
        <w:t xml:space="preserve"> на официальном </w:t>
      </w:r>
      <w:r>
        <w:rPr>
          <w:szCs w:val="28"/>
        </w:rPr>
        <w:t xml:space="preserve">сайте </w:t>
      </w:r>
      <w:r w:rsidR="002A7D94">
        <w:rPr>
          <w:szCs w:val="28"/>
        </w:rPr>
        <w:t>в сети Интернет</w:t>
      </w:r>
      <w:r>
        <w:rPr>
          <w:szCs w:val="28"/>
        </w:rPr>
        <w:t>.</w:t>
      </w:r>
    </w:p>
    <w:p w:rsidR="0047102A" w:rsidRDefault="0047102A" w:rsidP="00804889">
      <w:pPr>
        <w:autoSpaceDE w:val="0"/>
        <w:autoSpaceDN w:val="0"/>
        <w:adjustRightInd w:val="0"/>
        <w:jc w:val="both"/>
        <w:rPr>
          <w:szCs w:val="28"/>
        </w:rPr>
      </w:pPr>
    </w:p>
    <w:p w:rsidR="0047102A" w:rsidRDefault="0047102A" w:rsidP="0047102A">
      <w:pPr>
        <w:autoSpaceDE w:val="0"/>
        <w:autoSpaceDN w:val="0"/>
        <w:adjustRightInd w:val="0"/>
        <w:jc w:val="both"/>
        <w:rPr>
          <w:szCs w:val="28"/>
        </w:rPr>
      </w:pPr>
    </w:p>
    <w:p w:rsidR="000D0906" w:rsidRDefault="0047102A" w:rsidP="004710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6E490B" w:rsidRPr="006E490B" w:rsidRDefault="006E490B" w:rsidP="006E490B">
      <w:pPr>
        <w:tabs>
          <w:tab w:val="left" w:pos="9355"/>
        </w:tabs>
        <w:spacing w:after="17" w:line="249" w:lineRule="auto"/>
        <w:ind w:left="-426" w:hanging="10"/>
        <w:rPr>
          <w:szCs w:val="28"/>
        </w:rPr>
      </w:pPr>
      <w:r w:rsidRPr="006E490B">
        <w:rPr>
          <w:szCs w:val="28"/>
        </w:rPr>
        <w:t xml:space="preserve">Председатель  Новоуспенского                                 </w:t>
      </w:r>
      <w:r>
        <w:rPr>
          <w:szCs w:val="28"/>
        </w:rPr>
        <w:t xml:space="preserve">          </w:t>
      </w:r>
      <w:bookmarkStart w:id="0" w:name="_GoBack"/>
      <w:bookmarkEnd w:id="0"/>
      <w:r w:rsidRPr="006E490B">
        <w:rPr>
          <w:szCs w:val="28"/>
        </w:rPr>
        <w:t xml:space="preserve"> Глава Новоуспенского                                                                                                                                                        </w:t>
      </w:r>
    </w:p>
    <w:p w:rsidR="006E490B" w:rsidRPr="006E490B" w:rsidRDefault="006E490B" w:rsidP="006E490B">
      <w:pPr>
        <w:ind w:left="-426" w:right="-143"/>
        <w:rPr>
          <w:szCs w:val="28"/>
        </w:rPr>
      </w:pPr>
      <w:r w:rsidRPr="006E490B">
        <w:rPr>
          <w:szCs w:val="28"/>
        </w:rPr>
        <w:t xml:space="preserve">сельского Совета      депутатов                                                                </w:t>
      </w:r>
      <w:r>
        <w:rPr>
          <w:szCs w:val="28"/>
        </w:rPr>
        <w:t xml:space="preserve">  </w:t>
      </w:r>
      <w:r w:rsidRPr="006E490B">
        <w:rPr>
          <w:szCs w:val="28"/>
        </w:rPr>
        <w:t>сельсовета</w:t>
      </w:r>
    </w:p>
    <w:p w:rsidR="00446CD8" w:rsidRPr="00446CD8" w:rsidRDefault="006E490B" w:rsidP="006E49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             </w:t>
      </w:r>
      <w:r w:rsidRPr="006E490B">
        <w:rPr>
          <w:szCs w:val="28"/>
        </w:rPr>
        <w:t xml:space="preserve"> </w:t>
      </w:r>
      <w:proofErr w:type="spellStart"/>
      <w:r w:rsidRPr="006E490B">
        <w:rPr>
          <w:szCs w:val="28"/>
        </w:rPr>
        <w:t>Л.Г.Иванова</w:t>
      </w:r>
      <w:proofErr w:type="spellEnd"/>
      <w:r w:rsidRPr="006E490B">
        <w:rPr>
          <w:szCs w:val="28"/>
        </w:rPr>
        <w:t xml:space="preserve">                </w:t>
      </w:r>
      <w:r>
        <w:rPr>
          <w:szCs w:val="28"/>
        </w:rPr>
        <w:t xml:space="preserve">                               </w:t>
      </w:r>
      <w:r w:rsidRPr="006E490B">
        <w:rPr>
          <w:szCs w:val="28"/>
        </w:rPr>
        <w:t xml:space="preserve">        </w:t>
      </w:r>
      <w:r>
        <w:rPr>
          <w:szCs w:val="28"/>
        </w:rPr>
        <w:t xml:space="preserve">         </w:t>
      </w:r>
      <w:r w:rsidRPr="006E490B">
        <w:rPr>
          <w:szCs w:val="28"/>
        </w:rPr>
        <w:t xml:space="preserve">Л.В.Ховрич   </w:t>
      </w:r>
    </w:p>
    <w:p w:rsidR="000D0906" w:rsidRDefault="000D0906" w:rsidP="00446CD8">
      <w:pPr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804889" w:rsidRDefault="00804889" w:rsidP="0047102A">
      <w:pPr>
        <w:jc w:val="right"/>
        <w:rPr>
          <w:sz w:val="20"/>
        </w:rPr>
      </w:pPr>
    </w:p>
    <w:p w:rsidR="00804889" w:rsidRDefault="00804889" w:rsidP="0047102A">
      <w:pPr>
        <w:jc w:val="right"/>
        <w:rPr>
          <w:sz w:val="20"/>
        </w:rPr>
      </w:pPr>
    </w:p>
    <w:p w:rsidR="00804889" w:rsidRDefault="00804889" w:rsidP="0047102A">
      <w:pPr>
        <w:jc w:val="right"/>
        <w:rPr>
          <w:sz w:val="20"/>
        </w:rPr>
      </w:pPr>
    </w:p>
    <w:p w:rsidR="00804889" w:rsidRDefault="00804889" w:rsidP="0047102A">
      <w:pPr>
        <w:jc w:val="right"/>
        <w:rPr>
          <w:sz w:val="20"/>
        </w:rPr>
      </w:pPr>
    </w:p>
    <w:p w:rsidR="00804889" w:rsidRDefault="00804889" w:rsidP="00446CD8">
      <w:pPr>
        <w:rPr>
          <w:sz w:val="20"/>
        </w:rPr>
      </w:pPr>
    </w:p>
    <w:p w:rsidR="00804889" w:rsidRDefault="00804889" w:rsidP="00E81801">
      <w:pPr>
        <w:rPr>
          <w:sz w:val="20"/>
        </w:rPr>
      </w:pPr>
    </w:p>
    <w:p w:rsidR="00804889" w:rsidRDefault="00804889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     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>к Решению Н</w:t>
      </w:r>
      <w:r w:rsidR="00804889">
        <w:rPr>
          <w:sz w:val="24"/>
          <w:szCs w:val="24"/>
        </w:rPr>
        <w:t>овоуспенского</w:t>
      </w:r>
      <w:r w:rsidRPr="00295D61">
        <w:rPr>
          <w:sz w:val="24"/>
          <w:szCs w:val="24"/>
        </w:rPr>
        <w:t xml:space="preserve">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0B4DA9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46CD8">
        <w:rPr>
          <w:sz w:val="24"/>
          <w:szCs w:val="24"/>
        </w:rPr>
        <w:t>0</w:t>
      </w:r>
      <w:r w:rsidR="00E81801">
        <w:rPr>
          <w:sz w:val="24"/>
          <w:szCs w:val="24"/>
        </w:rPr>
        <w:t>8</w:t>
      </w:r>
      <w:r w:rsidR="00446CD8">
        <w:rPr>
          <w:sz w:val="24"/>
          <w:szCs w:val="24"/>
        </w:rPr>
        <w:t>.11.</w:t>
      </w:r>
      <w:r>
        <w:rPr>
          <w:sz w:val="24"/>
          <w:szCs w:val="24"/>
        </w:rPr>
        <w:t>202</w:t>
      </w:r>
      <w:r w:rsidR="00E81801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E81801">
        <w:rPr>
          <w:sz w:val="24"/>
          <w:szCs w:val="24"/>
        </w:rPr>
        <w:t>42-152р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</w:t>
      </w:r>
      <w:r w:rsidR="00295D61">
        <w:rPr>
          <w:szCs w:val="28"/>
        </w:rPr>
        <w:t>доставления из бюджета Н</w:t>
      </w:r>
      <w:r w:rsidR="0061234D">
        <w:rPr>
          <w:szCs w:val="28"/>
        </w:rPr>
        <w:t>овоуспенского</w:t>
      </w:r>
      <w:r w:rsidR="00295D61">
        <w:rPr>
          <w:szCs w:val="28"/>
        </w:rPr>
        <w:t xml:space="preserve"> сельсовета Абанского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</w:t>
      </w:r>
      <w:proofErr w:type="gramStart"/>
      <w:r>
        <w:rPr>
          <w:szCs w:val="28"/>
        </w:rPr>
        <w:t>полученных</w:t>
      </w:r>
      <w:proofErr w:type="gramEnd"/>
      <w:r>
        <w:rPr>
          <w:szCs w:val="28"/>
        </w:rPr>
        <w:t xml:space="preserve">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.:</w:t>
      </w:r>
      <w:proofErr w:type="gramEnd"/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8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1" w:name="RANGE!A1:I19"/>
            <w:bookmarkEnd w:id="1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рублях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7102A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454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7102A" w:rsidRDefault="0047102A" w:rsidP="0047102A"/>
    <w:p w:rsidR="0047102A" w:rsidRDefault="0047102A" w:rsidP="0047102A"/>
    <w:p w:rsidR="00F2410E" w:rsidRDefault="00F2410E"/>
    <w:sectPr w:rsidR="00F2410E" w:rsidSect="00A0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02A"/>
    <w:rsid w:val="000B4DA9"/>
    <w:rsid w:val="000D0906"/>
    <w:rsid w:val="00295D61"/>
    <w:rsid w:val="002A7D94"/>
    <w:rsid w:val="002C4FE0"/>
    <w:rsid w:val="002E2D2C"/>
    <w:rsid w:val="0037428B"/>
    <w:rsid w:val="00446CD8"/>
    <w:rsid w:val="00453D34"/>
    <w:rsid w:val="0045415C"/>
    <w:rsid w:val="0047102A"/>
    <w:rsid w:val="0061234D"/>
    <w:rsid w:val="00676AC1"/>
    <w:rsid w:val="006E3695"/>
    <w:rsid w:val="006E490B"/>
    <w:rsid w:val="00804889"/>
    <w:rsid w:val="0081528A"/>
    <w:rsid w:val="00954467"/>
    <w:rsid w:val="00A06D69"/>
    <w:rsid w:val="00AC547B"/>
    <w:rsid w:val="00CA1508"/>
    <w:rsid w:val="00E6536F"/>
    <w:rsid w:val="00E81801"/>
    <w:rsid w:val="00EC7CD4"/>
    <w:rsid w:val="00F2410E"/>
    <w:rsid w:val="00F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2024-11-07T04:26:00Z</cp:lastPrinted>
  <dcterms:created xsi:type="dcterms:W3CDTF">2023-10-24T06:00:00Z</dcterms:created>
  <dcterms:modified xsi:type="dcterms:W3CDTF">2024-11-07T04:35:00Z</dcterms:modified>
</cp:coreProperties>
</file>